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eGrid"/>
        <w:tblW w:w="10085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3"/>
        <w:gridCol w:w="8668"/>
        <w:gridCol w:w="874"/>
      </w:tblGrid>
      <w:tr w:rsidR="002F09DE" w:rsidTr="00711892">
        <w:trPr>
          <w:trHeight w:val="810"/>
          <w:jc w:val="center"/>
        </w:trPr>
        <w:tc>
          <w:tcPr>
            <w:tcW w:w="10085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:rsidR="002F09DE" w:rsidRDefault="00DA1CDF">
            <w:r>
              <w:rPr>
                <w:noProof/>
              </w:rPr>
              <w:drawing>
                <wp:inline distT="0" distB="0" distL="0" distR="0" wp14:anchorId="68E94244" wp14:editId="57A00F08">
                  <wp:extent cx="640080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bergTraurig_EviteFram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CDF" w:rsidTr="00711892">
        <w:trPr>
          <w:trHeight w:val="810"/>
          <w:jc w:val="center"/>
        </w:trPr>
        <w:tc>
          <w:tcPr>
            <w:tcW w:w="543" w:type="dxa"/>
            <w:shd w:val="clear" w:color="auto" w:fill="2D2D2D"/>
            <w:tcMar>
              <w:left w:w="0" w:type="dxa"/>
              <w:right w:w="0" w:type="dxa"/>
            </w:tcMar>
          </w:tcPr>
          <w:p w:rsidR="00DA1CDF" w:rsidRDefault="00DA1CDF"/>
        </w:tc>
        <w:tc>
          <w:tcPr>
            <w:tcW w:w="8668" w:type="dxa"/>
            <w:shd w:val="clear" w:color="auto" w:fill="2D2D2D"/>
            <w:tcMar>
              <w:left w:w="0" w:type="dxa"/>
              <w:right w:w="0" w:type="dxa"/>
            </w:tcMar>
          </w:tcPr>
          <w:p w:rsidR="00DA1CDF" w:rsidRPr="00DA1CDF" w:rsidRDefault="00DA1CDF" w:rsidP="004D3DF9">
            <w:pPr>
              <w:pStyle w:val="GTTitleGold"/>
            </w:pPr>
            <w:r w:rsidRPr="00DA1CDF">
              <w:t xml:space="preserve">You are </w:t>
            </w:r>
            <w:r w:rsidRPr="00DA1CDF">
              <w:rPr>
                <w:color w:val="BE9B39"/>
              </w:rPr>
              <w:t>invited</w:t>
            </w:r>
          </w:p>
        </w:tc>
        <w:tc>
          <w:tcPr>
            <w:tcW w:w="874" w:type="dxa"/>
            <w:shd w:val="clear" w:color="auto" w:fill="2D2D2D"/>
          </w:tcPr>
          <w:p w:rsidR="00DA1CDF" w:rsidRDefault="00DA1CDF"/>
        </w:tc>
      </w:tr>
      <w:tr w:rsidR="002F09DE" w:rsidTr="00711892">
        <w:trPr>
          <w:trHeight w:val="2857"/>
          <w:jc w:val="center"/>
        </w:trPr>
        <w:tc>
          <w:tcPr>
            <w:tcW w:w="10085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:rsidR="002F09DE" w:rsidRDefault="007768F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-117475</wp:posOffset>
                  </wp:positionV>
                  <wp:extent cx="6400165" cy="2486025"/>
                  <wp:effectExtent l="0" t="0" r="635" b="9525"/>
                  <wp:wrapNone/>
                  <wp:docPr id="2" name="Picture 2" descr="A close up of text on a white background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y Webinar Banner Graphic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61" b="3945"/>
                          <a:stretch/>
                        </pic:blipFill>
                        <pic:spPr bwMode="auto">
                          <a:xfrm>
                            <a:off x="0" y="0"/>
                            <a:ext cx="6400165" cy="248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CEA">
              <w:rPr>
                <w:noProof/>
              </w:rPr>
              <w:drawing>
                <wp:inline distT="0" distB="0" distL="0" distR="0" wp14:anchorId="326D8810" wp14:editId="2F09A5B4">
                  <wp:extent cx="6400800" cy="228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9DE" w:rsidTr="00711892">
        <w:trPr>
          <w:trHeight w:val="2304"/>
          <w:jc w:val="center"/>
        </w:trPr>
        <w:tc>
          <w:tcPr>
            <w:tcW w:w="54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2F09DE" w:rsidRDefault="002F09DE"/>
        </w:tc>
        <w:tc>
          <w:tcPr>
            <w:tcW w:w="866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2F09DE" w:rsidRPr="004D3DF9" w:rsidRDefault="00F41CEA" w:rsidP="004D3DF9">
            <w:pPr>
              <w:pStyle w:val="GTBodyCopy"/>
            </w:pPr>
            <w:r>
              <w:rPr>
                <w:rFonts w:ascii="Arial Narrow" w:hAnsi="Arial Narrow"/>
                <w:sz w:val="30"/>
                <w:szCs w:val="30"/>
              </w:rPr>
              <w:br/>
            </w:r>
          </w:p>
          <w:p w:rsidR="002F09DE" w:rsidRPr="00391251" w:rsidRDefault="007768F8" w:rsidP="004D3DF9">
            <w:pPr>
              <w:pStyle w:val="GTHeading-Gold"/>
            </w:pPr>
            <w:r>
              <w:t>Thursday</w:t>
            </w:r>
            <w:r w:rsidR="00F41CEA" w:rsidRPr="00391251">
              <w:t xml:space="preserve">, </w:t>
            </w:r>
            <w:r>
              <w:t>May 14</w:t>
            </w:r>
            <w:r w:rsidR="00F41CEA" w:rsidRPr="00391251">
              <w:t xml:space="preserve">, </w:t>
            </w:r>
            <w:r>
              <w:t>2020</w:t>
            </w:r>
            <w:r w:rsidR="00F41CEA" w:rsidRPr="00391251">
              <w:br/>
            </w:r>
            <w:r>
              <w:rPr>
                <w:color w:val="000000" w:themeColor="text1"/>
              </w:rPr>
              <w:t>2:00 PM EST / 11:00 AM P</w:t>
            </w:r>
            <w:r w:rsidR="00711892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T</w:t>
            </w:r>
            <w:r w:rsidR="00F41CEA" w:rsidRPr="00A24B54">
              <w:rPr>
                <w:color w:val="000000" w:themeColor="text1"/>
              </w:rPr>
              <w:t xml:space="preserve"> </w:t>
            </w:r>
          </w:p>
          <w:p w:rsidR="00501893" w:rsidRPr="00501893" w:rsidRDefault="00230B2F" w:rsidP="00545439">
            <w:pPr>
              <w:shd w:val="clear" w:color="auto" w:fill="FFFFFF"/>
              <w:rPr>
                <w:rFonts w:ascii="Georgia" w:hAnsi="Georgia"/>
                <w:b/>
                <w:sz w:val="22"/>
              </w:rPr>
            </w:pPr>
            <w:hyperlink r:id="rId8" w:history="1">
              <w:r w:rsidR="00501893" w:rsidRPr="00501893">
                <w:rPr>
                  <w:rStyle w:val="Hyperlink"/>
                  <w:rFonts w:ascii="Georgia" w:hAnsi="Georgia"/>
                  <w:b/>
                  <w:sz w:val="22"/>
                </w:rPr>
                <w:t>Register Here Now</w:t>
              </w:r>
            </w:hyperlink>
          </w:p>
          <w:p w:rsidR="00501893" w:rsidRDefault="00501893" w:rsidP="00545439">
            <w:pPr>
              <w:shd w:val="clear" w:color="auto" w:fill="FFFFFF"/>
              <w:rPr>
                <w:rFonts w:ascii="Georgia" w:hAnsi="Georgia"/>
                <w:sz w:val="22"/>
              </w:rPr>
            </w:pPr>
          </w:p>
          <w:p w:rsidR="00545439" w:rsidRPr="00545439" w:rsidRDefault="00545439" w:rsidP="00545439">
            <w:pPr>
              <w:shd w:val="clear" w:color="auto" w:fill="FFFFFF"/>
              <w:rPr>
                <w:rFonts w:ascii="Georgia" w:hAnsi="Georgia"/>
                <w:sz w:val="22"/>
              </w:rPr>
            </w:pPr>
            <w:r w:rsidRPr="00545439">
              <w:rPr>
                <w:rFonts w:ascii="Georgia" w:hAnsi="Georgia"/>
                <w:sz w:val="22"/>
              </w:rPr>
              <w:t xml:space="preserve">The Opportunity Zones initiative stands perfectly at the confluence of three recent nationwide developments: </w:t>
            </w:r>
          </w:p>
          <w:p w:rsidR="00545439" w:rsidRPr="00545439" w:rsidRDefault="00545439" w:rsidP="00711892">
            <w:pPr>
              <w:shd w:val="clear" w:color="auto" w:fill="FFFFFF"/>
              <w:jc w:val="both"/>
              <w:rPr>
                <w:rFonts w:ascii="Georgia" w:hAnsi="Georgia"/>
                <w:sz w:val="22"/>
              </w:rPr>
            </w:pPr>
          </w:p>
          <w:p w:rsidR="00545439" w:rsidRPr="00545439" w:rsidRDefault="00545439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545439">
              <w:rPr>
                <w:rFonts w:ascii="Georgia" w:eastAsiaTheme="minorHAnsi" w:hAnsi="Georgia" w:cstheme="minorBidi"/>
                <w:sz w:val="22"/>
              </w:rPr>
              <w:t xml:space="preserve">a market selloff, which has generated an unprecedented amount of capital gains; </w:t>
            </w:r>
          </w:p>
          <w:p w:rsidR="00545439" w:rsidRPr="00545439" w:rsidRDefault="00545439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545439">
              <w:rPr>
                <w:rFonts w:ascii="Georgia" w:eastAsiaTheme="minorHAnsi" w:hAnsi="Georgia" w:cstheme="minorBidi"/>
                <w:sz w:val="22"/>
              </w:rPr>
              <w:t>a reset in the real estate cycle;</w:t>
            </w:r>
          </w:p>
          <w:p w:rsidR="00545439" w:rsidRPr="00545439" w:rsidRDefault="00545439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545439">
              <w:rPr>
                <w:rFonts w:ascii="Georgia" w:eastAsiaTheme="minorHAnsi" w:hAnsi="Georgia" w:cstheme="minorBidi"/>
                <w:sz w:val="22"/>
              </w:rPr>
              <w:t>heightened social awareness among investors.</w:t>
            </w:r>
          </w:p>
          <w:p w:rsidR="00545439" w:rsidRPr="00545439" w:rsidRDefault="00545439" w:rsidP="00711892">
            <w:pPr>
              <w:shd w:val="clear" w:color="auto" w:fill="FFFFFF"/>
              <w:jc w:val="both"/>
              <w:rPr>
                <w:rFonts w:ascii="Georgia" w:hAnsi="Georgia"/>
                <w:sz w:val="22"/>
              </w:rPr>
            </w:pPr>
          </w:p>
          <w:p w:rsidR="00545439" w:rsidRPr="00545439" w:rsidRDefault="00545439" w:rsidP="00711892">
            <w:pPr>
              <w:shd w:val="clear" w:color="auto" w:fill="FFFFFF"/>
              <w:jc w:val="both"/>
              <w:rPr>
                <w:rFonts w:ascii="Georgia" w:hAnsi="Georgia"/>
                <w:sz w:val="22"/>
              </w:rPr>
            </w:pPr>
            <w:r w:rsidRPr="00545439">
              <w:rPr>
                <w:rFonts w:ascii="Georgia" w:hAnsi="Georgia"/>
                <w:sz w:val="22"/>
              </w:rPr>
              <w:t>As a result, O</w:t>
            </w:r>
            <w:r>
              <w:rPr>
                <w:rFonts w:ascii="Georgia" w:hAnsi="Georgia"/>
                <w:sz w:val="22"/>
              </w:rPr>
              <w:t xml:space="preserve">pportunity </w:t>
            </w:r>
            <w:r w:rsidRPr="00545439">
              <w:rPr>
                <w:rFonts w:ascii="Georgia" w:hAnsi="Georgia"/>
                <w:sz w:val="22"/>
              </w:rPr>
              <w:t>Z</w:t>
            </w:r>
            <w:r>
              <w:rPr>
                <w:rFonts w:ascii="Georgia" w:hAnsi="Georgia"/>
                <w:sz w:val="22"/>
              </w:rPr>
              <w:t xml:space="preserve">ones </w:t>
            </w:r>
            <w:r w:rsidRPr="00545439">
              <w:rPr>
                <w:rFonts w:ascii="Georgia" w:hAnsi="Georgia"/>
                <w:sz w:val="22"/>
              </w:rPr>
              <w:t xml:space="preserve">may be instrumental in efforts to rebuild the U.S. economy. 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545439">
              <w:rPr>
                <w:rFonts w:ascii="Georgia" w:hAnsi="Georgia"/>
                <w:sz w:val="22"/>
              </w:rPr>
              <w:t>And O</w:t>
            </w:r>
            <w:r>
              <w:rPr>
                <w:rFonts w:ascii="Georgia" w:hAnsi="Georgia"/>
                <w:sz w:val="22"/>
              </w:rPr>
              <w:t xml:space="preserve">pportunity </w:t>
            </w:r>
            <w:r w:rsidRPr="00545439">
              <w:rPr>
                <w:rFonts w:ascii="Georgia" w:hAnsi="Georgia"/>
                <w:sz w:val="22"/>
              </w:rPr>
              <w:t>Z</w:t>
            </w:r>
            <w:r>
              <w:rPr>
                <w:rFonts w:ascii="Georgia" w:hAnsi="Georgia"/>
                <w:sz w:val="22"/>
              </w:rPr>
              <w:t>one</w:t>
            </w:r>
            <w:r w:rsidRPr="00545439">
              <w:rPr>
                <w:rFonts w:ascii="Georgia" w:hAnsi="Georgia"/>
                <w:sz w:val="22"/>
              </w:rPr>
              <w:t xml:space="preserve"> funds with the right projects and social impact priorities stand to do the most good, while also gaining market share.</w:t>
            </w:r>
          </w:p>
          <w:p w:rsidR="00545439" w:rsidRPr="00545439" w:rsidRDefault="00545439" w:rsidP="00711892">
            <w:pPr>
              <w:shd w:val="clear" w:color="auto" w:fill="FFFFFF"/>
              <w:jc w:val="both"/>
              <w:rPr>
                <w:rFonts w:ascii="Georgia" w:hAnsi="Georgia"/>
                <w:sz w:val="22"/>
              </w:rPr>
            </w:pPr>
          </w:p>
          <w:p w:rsidR="00545439" w:rsidRPr="00545439" w:rsidRDefault="00545439" w:rsidP="00711892">
            <w:pPr>
              <w:shd w:val="clear" w:color="auto" w:fill="FFFFFF"/>
              <w:jc w:val="both"/>
              <w:rPr>
                <w:rFonts w:ascii="Georgia" w:hAnsi="Georgia"/>
                <w:sz w:val="22"/>
              </w:rPr>
            </w:pPr>
            <w:r w:rsidRPr="00545439">
              <w:rPr>
                <w:rFonts w:ascii="Georgia" w:hAnsi="Georgia"/>
                <w:sz w:val="22"/>
              </w:rPr>
              <w:t>Join us for this free webinar, in which we’ll discuss:</w:t>
            </w:r>
          </w:p>
          <w:p w:rsidR="00545439" w:rsidRPr="00545439" w:rsidRDefault="00545439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545439">
              <w:rPr>
                <w:rFonts w:ascii="Georgia" w:eastAsiaTheme="minorHAnsi" w:hAnsi="Georgia" w:cstheme="minorBidi"/>
                <w:sz w:val="22"/>
              </w:rPr>
              <w:t>Marketing to “impact investors”</w:t>
            </w:r>
          </w:p>
          <w:p w:rsidR="00545439" w:rsidRPr="00545439" w:rsidRDefault="00545439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545439">
              <w:rPr>
                <w:rFonts w:ascii="Georgia" w:eastAsiaTheme="minorHAnsi" w:hAnsi="Georgia" w:cstheme="minorBidi"/>
                <w:sz w:val="22"/>
              </w:rPr>
              <w:t>Which areas/project types will be favored in the new economy?</w:t>
            </w:r>
          </w:p>
          <w:p w:rsidR="00545439" w:rsidRPr="00545439" w:rsidRDefault="00545439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545439">
              <w:rPr>
                <w:rFonts w:ascii="Georgia" w:eastAsiaTheme="minorHAnsi" w:hAnsi="Georgia" w:cstheme="minorBidi"/>
                <w:sz w:val="22"/>
              </w:rPr>
              <w:t>OZ as a platform for equitable recovery</w:t>
            </w:r>
          </w:p>
          <w:p w:rsidR="00545439" w:rsidRPr="00C079FB" w:rsidRDefault="00545439" w:rsidP="00AF0EED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C079FB">
              <w:rPr>
                <w:rFonts w:ascii="Georgia" w:eastAsiaTheme="minorHAnsi" w:hAnsi="Georgia" w:cstheme="minorBidi"/>
                <w:sz w:val="22"/>
              </w:rPr>
              <w:t>Regulatory update: e.g.; how will federal disaster declarations affect working capital safe harbor allowances for OZ Funds?</w:t>
            </w:r>
          </w:p>
          <w:p w:rsidR="00545439" w:rsidRPr="00545439" w:rsidRDefault="00545439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 w:cstheme="minorBidi"/>
                <w:sz w:val="22"/>
              </w:rPr>
            </w:pPr>
            <w:r w:rsidRPr="00545439">
              <w:rPr>
                <w:rFonts w:ascii="Georgia" w:eastAsiaTheme="minorHAnsi" w:hAnsi="Georgia" w:cstheme="minorBidi"/>
                <w:sz w:val="22"/>
              </w:rPr>
              <w:t>OZ market data through the first quarter of 2020 (and emerging trends)</w:t>
            </w:r>
          </w:p>
          <w:p w:rsidR="00545439" w:rsidRPr="00545439" w:rsidRDefault="00545439" w:rsidP="00711892">
            <w:pPr>
              <w:shd w:val="clear" w:color="auto" w:fill="FFFFFF"/>
              <w:jc w:val="both"/>
              <w:rPr>
                <w:rFonts w:ascii="Georgia" w:hAnsi="Georgia"/>
                <w:sz w:val="22"/>
              </w:rPr>
            </w:pPr>
          </w:p>
          <w:p w:rsidR="00711892" w:rsidRPr="00711892" w:rsidRDefault="00711892" w:rsidP="00711892">
            <w:pPr>
              <w:shd w:val="clear" w:color="auto" w:fill="FFFFFF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>S</w:t>
            </w:r>
            <w:r w:rsidRPr="00711892">
              <w:rPr>
                <w:rFonts w:ascii="Georgia" w:hAnsi="Georgia"/>
                <w:sz w:val="22"/>
              </w:rPr>
              <w:t>peakers include:</w:t>
            </w:r>
          </w:p>
          <w:p w:rsidR="00711892" w:rsidRPr="00711892" w:rsidRDefault="00711892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/>
                <w:sz w:val="22"/>
              </w:rPr>
            </w:pPr>
            <w:r w:rsidRPr="00711892">
              <w:rPr>
                <w:rFonts w:ascii="Georgia" w:eastAsiaTheme="minorHAnsi" w:hAnsi="Georgia"/>
                <w:sz w:val="22"/>
              </w:rPr>
              <w:t>Reid Thomas, Executive Vice President</w:t>
            </w:r>
            <w:r w:rsidR="00230B2F">
              <w:rPr>
                <w:rFonts w:ascii="Georgia" w:eastAsiaTheme="minorHAnsi" w:hAnsi="Georgia"/>
                <w:sz w:val="22"/>
              </w:rPr>
              <w:t xml:space="preserve">. </w:t>
            </w:r>
            <w:r w:rsidRPr="00711892">
              <w:rPr>
                <w:rFonts w:ascii="Georgia" w:eastAsiaTheme="minorHAnsi" w:hAnsi="Georgia"/>
                <w:sz w:val="22"/>
              </w:rPr>
              <w:t>NES Financial</w:t>
            </w:r>
          </w:p>
          <w:p w:rsidR="00711892" w:rsidRPr="00711892" w:rsidRDefault="00711892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/>
                <w:sz w:val="22"/>
              </w:rPr>
            </w:pPr>
            <w:r w:rsidRPr="00711892">
              <w:rPr>
                <w:rFonts w:ascii="Georgia" w:eastAsiaTheme="minorHAnsi" w:hAnsi="Georgia"/>
                <w:sz w:val="22"/>
              </w:rPr>
              <w:t>S. Lawrence Davis, President and CEO</w:t>
            </w:r>
            <w:r w:rsidR="00230B2F">
              <w:rPr>
                <w:rFonts w:ascii="Georgia" w:eastAsiaTheme="minorHAnsi" w:hAnsi="Georgia"/>
                <w:sz w:val="22"/>
              </w:rPr>
              <w:t xml:space="preserve">, </w:t>
            </w:r>
            <w:r w:rsidRPr="00711892">
              <w:rPr>
                <w:rFonts w:ascii="Georgia" w:eastAsiaTheme="minorHAnsi" w:hAnsi="Georgia"/>
                <w:sz w:val="22"/>
              </w:rPr>
              <w:t>Shorewood Real Estate Group</w:t>
            </w:r>
          </w:p>
          <w:p w:rsidR="00711892" w:rsidRPr="00711892" w:rsidRDefault="00711892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/>
                <w:sz w:val="22"/>
              </w:rPr>
            </w:pPr>
            <w:r w:rsidRPr="00711892">
              <w:rPr>
                <w:rFonts w:ascii="Georgia" w:eastAsiaTheme="minorHAnsi" w:hAnsi="Georgia"/>
                <w:sz w:val="22"/>
              </w:rPr>
              <w:t>Jim Lang, Shareholder</w:t>
            </w:r>
            <w:r w:rsidR="00230B2F">
              <w:rPr>
                <w:rFonts w:ascii="Georgia" w:eastAsiaTheme="minorHAnsi" w:hAnsi="Georgia"/>
                <w:sz w:val="22"/>
              </w:rPr>
              <w:t xml:space="preserve">, </w:t>
            </w:r>
            <w:r w:rsidRPr="00711892">
              <w:rPr>
                <w:rFonts w:ascii="Georgia" w:eastAsiaTheme="minorHAnsi" w:hAnsi="Georgia"/>
                <w:sz w:val="22"/>
              </w:rPr>
              <w:t>Greenberg Traurig</w:t>
            </w:r>
          </w:p>
          <w:p w:rsidR="00711892" w:rsidRPr="00711892" w:rsidRDefault="00711892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/>
                <w:sz w:val="22"/>
              </w:rPr>
            </w:pPr>
            <w:r w:rsidRPr="00711892">
              <w:rPr>
                <w:rFonts w:ascii="Georgia" w:eastAsiaTheme="minorHAnsi" w:hAnsi="Georgia"/>
                <w:sz w:val="22"/>
              </w:rPr>
              <w:t>Michael Bernier, Partner</w:t>
            </w:r>
            <w:r w:rsidR="00230B2F">
              <w:rPr>
                <w:rFonts w:ascii="Georgia" w:eastAsiaTheme="minorHAnsi" w:hAnsi="Georgia"/>
                <w:sz w:val="22"/>
              </w:rPr>
              <w:t xml:space="preserve">, </w:t>
            </w:r>
            <w:r w:rsidRPr="00711892">
              <w:rPr>
                <w:rFonts w:ascii="Georgia" w:eastAsiaTheme="minorHAnsi" w:hAnsi="Georgia"/>
                <w:sz w:val="22"/>
              </w:rPr>
              <w:t>Ernst &amp; Young </w:t>
            </w:r>
          </w:p>
          <w:p w:rsidR="00711892" w:rsidRPr="00711892" w:rsidRDefault="00711892" w:rsidP="00711892">
            <w:pPr>
              <w:pStyle w:val="ListParagraph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Georgia" w:eastAsiaTheme="minorHAnsi" w:hAnsi="Georgia"/>
                <w:sz w:val="22"/>
              </w:rPr>
            </w:pPr>
            <w:r w:rsidRPr="00711892">
              <w:rPr>
                <w:rFonts w:ascii="Georgia" w:eastAsiaTheme="minorHAnsi" w:hAnsi="Georgia"/>
                <w:sz w:val="22"/>
              </w:rPr>
              <w:lastRenderedPageBreak/>
              <w:t>David Coelho, Chief Strategy Officer, Chief Investment Officer – Opportunity Zone Program</w:t>
            </w:r>
            <w:r w:rsidR="00230B2F">
              <w:rPr>
                <w:rFonts w:ascii="Georgia" w:eastAsiaTheme="minorHAnsi" w:hAnsi="Georgia"/>
                <w:sz w:val="22"/>
              </w:rPr>
              <w:t xml:space="preserve">, </w:t>
            </w:r>
            <w:r w:rsidRPr="00711892">
              <w:rPr>
                <w:rFonts w:ascii="Georgia" w:eastAsiaTheme="minorHAnsi" w:hAnsi="Georgia"/>
                <w:sz w:val="22"/>
              </w:rPr>
              <w:t>Bridge Investment Group</w:t>
            </w:r>
          </w:p>
          <w:p w:rsidR="00711892" w:rsidRPr="00711892" w:rsidRDefault="00711892" w:rsidP="00711892">
            <w:pPr>
              <w:shd w:val="clear" w:color="auto" w:fill="FFFFFF"/>
              <w:rPr>
                <w:rFonts w:ascii="Georgia" w:hAnsi="Georgia"/>
                <w:sz w:val="22"/>
              </w:rPr>
            </w:pPr>
          </w:p>
          <w:p w:rsidR="00545439" w:rsidRPr="00711892" w:rsidRDefault="00711892" w:rsidP="00711892">
            <w:pPr>
              <w:shd w:val="clear" w:color="auto" w:fill="FFFFFF"/>
              <w:rPr>
                <w:rFonts w:ascii="HelveticaNeueLT Std Lt" w:eastAsia="Times New Roman" w:hAnsi="HelveticaNeueLT Std Lt" w:cstheme="minorHAnsi"/>
              </w:rPr>
            </w:pPr>
            <w:r w:rsidRPr="00711892">
              <w:rPr>
                <w:rFonts w:ascii="Georgia" w:hAnsi="Georgia"/>
                <w:sz w:val="22"/>
              </w:rPr>
              <w:t>Take advantage o</w:t>
            </w:r>
            <w:bookmarkStart w:id="0" w:name="_GoBack"/>
            <w:bookmarkEnd w:id="0"/>
            <w:r w:rsidRPr="00711892">
              <w:rPr>
                <w:rFonts w:ascii="Georgia" w:hAnsi="Georgia"/>
                <w:sz w:val="22"/>
              </w:rPr>
              <w:t>f these experts’ insights.</w:t>
            </w:r>
            <w:r>
              <w:rPr>
                <w:rFonts w:ascii="Georgia" w:hAnsi="Georgia"/>
                <w:sz w:val="22"/>
              </w:rPr>
              <w:t xml:space="preserve"> </w:t>
            </w:r>
            <w:r w:rsidRPr="00711892">
              <w:rPr>
                <w:rFonts w:ascii="Georgia" w:hAnsi="Georgia"/>
                <w:sz w:val="22"/>
              </w:rPr>
              <w:t> Reserve your place today.</w:t>
            </w:r>
          </w:p>
        </w:tc>
        <w:tc>
          <w:tcPr>
            <w:tcW w:w="874" w:type="dxa"/>
            <w:shd w:val="clear" w:color="auto" w:fill="FFFFFF" w:themeFill="background1"/>
          </w:tcPr>
          <w:p w:rsidR="002F09DE" w:rsidRDefault="002F09DE"/>
        </w:tc>
      </w:tr>
      <w:tr w:rsidR="009B601F" w:rsidTr="00711892">
        <w:trPr>
          <w:trHeight w:val="1233"/>
          <w:jc w:val="center"/>
        </w:trPr>
        <w:tc>
          <w:tcPr>
            <w:tcW w:w="543" w:type="dxa"/>
            <w:shd w:val="clear" w:color="auto" w:fill="2D2D2D"/>
            <w:tcMar>
              <w:left w:w="0" w:type="dxa"/>
              <w:right w:w="0" w:type="dxa"/>
            </w:tcMar>
            <w:vAlign w:val="center"/>
          </w:tcPr>
          <w:p w:rsidR="009B601F" w:rsidRPr="009B601F" w:rsidRDefault="009B601F" w:rsidP="003D63AF"/>
        </w:tc>
        <w:tc>
          <w:tcPr>
            <w:tcW w:w="8668" w:type="dxa"/>
            <w:shd w:val="clear" w:color="auto" w:fill="2D2D2D"/>
            <w:tcMar>
              <w:left w:w="0" w:type="dxa"/>
              <w:right w:w="0" w:type="dxa"/>
            </w:tcMar>
            <w:vAlign w:val="center"/>
          </w:tcPr>
          <w:p w:rsidR="009B601F" w:rsidRPr="009B601F" w:rsidRDefault="00795AD2" w:rsidP="003D63AF">
            <w:pPr>
              <w:pStyle w:val="GTFooterGold"/>
              <w:spacing w:after="0"/>
            </w:pPr>
            <w:r w:rsidRPr="003D63AF">
              <w:t>Greenberg Traurig, LLP | Attorneys at Law | www.gtlaw.com</w:t>
            </w:r>
          </w:p>
        </w:tc>
        <w:tc>
          <w:tcPr>
            <w:tcW w:w="874" w:type="dxa"/>
            <w:shd w:val="clear" w:color="auto" w:fill="2D2D2D"/>
            <w:vAlign w:val="center"/>
          </w:tcPr>
          <w:p w:rsidR="009B601F" w:rsidRPr="009B601F" w:rsidRDefault="009B601F" w:rsidP="009B601F"/>
        </w:tc>
      </w:tr>
      <w:tr w:rsidR="002F09DE" w:rsidTr="00711892">
        <w:trPr>
          <w:trHeight w:val="162"/>
          <w:jc w:val="center"/>
        </w:trPr>
        <w:tc>
          <w:tcPr>
            <w:tcW w:w="543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2F09DE" w:rsidRDefault="002F09DE"/>
        </w:tc>
        <w:tc>
          <w:tcPr>
            <w:tcW w:w="866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2F09DE" w:rsidRPr="00795AD2" w:rsidRDefault="002F09DE" w:rsidP="00A24B54">
            <w:pPr>
              <w:pStyle w:val="GTBodyCopy"/>
            </w:pPr>
          </w:p>
        </w:tc>
        <w:tc>
          <w:tcPr>
            <w:tcW w:w="874" w:type="dxa"/>
            <w:shd w:val="clear" w:color="auto" w:fill="FFFFFF" w:themeFill="background1"/>
          </w:tcPr>
          <w:p w:rsidR="002F09DE" w:rsidRDefault="002F09DE"/>
        </w:tc>
      </w:tr>
    </w:tbl>
    <w:p w:rsidR="002F09DE" w:rsidRDefault="002F09DE"/>
    <w:sectPr w:rsidR="002F09D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Mittelschrift">
    <w:altName w:val="Calibri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170B7"/>
    <w:multiLevelType w:val="hybridMultilevel"/>
    <w:tmpl w:val="B72A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55D8"/>
    <w:multiLevelType w:val="hybridMultilevel"/>
    <w:tmpl w:val="2B0277BA"/>
    <w:lvl w:ilvl="0" w:tplc="6DCE1744"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DE"/>
    <w:rsid w:val="00015200"/>
    <w:rsid w:val="000C4644"/>
    <w:rsid w:val="000D5DE3"/>
    <w:rsid w:val="00212A27"/>
    <w:rsid w:val="00230B2F"/>
    <w:rsid w:val="002F09DE"/>
    <w:rsid w:val="00391251"/>
    <w:rsid w:val="003D63AF"/>
    <w:rsid w:val="00491A5C"/>
    <w:rsid w:val="004B0530"/>
    <w:rsid w:val="004D3DF9"/>
    <w:rsid w:val="00501893"/>
    <w:rsid w:val="00545439"/>
    <w:rsid w:val="00566B0F"/>
    <w:rsid w:val="00711892"/>
    <w:rsid w:val="007768F8"/>
    <w:rsid w:val="00795AD2"/>
    <w:rsid w:val="007B01DA"/>
    <w:rsid w:val="009B601F"/>
    <w:rsid w:val="00A24B54"/>
    <w:rsid w:val="00A57672"/>
    <w:rsid w:val="00C079FB"/>
    <w:rsid w:val="00C17D2B"/>
    <w:rsid w:val="00DA1CDF"/>
    <w:rsid w:val="00E66E1F"/>
    <w:rsid w:val="00F15320"/>
    <w:rsid w:val="00F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1E45"/>
  <w15:docId w15:val="{BBF742E3-0687-4796-8BC5-30D24D1B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THeading-Gold">
    <w:name w:val="GT Heading - Gold"/>
    <w:basedOn w:val="Normal"/>
    <w:qFormat/>
    <w:rsid w:val="004D3DF9"/>
    <w:pPr>
      <w:spacing w:after="280"/>
    </w:pPr>
    <w:rPr>
      <w:rFonts w:ascii="Georgia" w:hAnsi="Georgia"/>
      <w:b/>
      <w:color w:val="BE9B39"/>
      <w:sz w:val="32"/>
      <w:szCs w:val="32"/>
    </w:rPr>
  </w:style>
  <w:style w:type="paragraph" w:customStyle="1" w:styleId="GTBodyCopy">
    <w:name w:val="GT Body Copy"/>
    <w:basedOn w:val="Normal"/>
    <w:qFormat/>
    <w:rsid w:val="004D3DF9"/>
    <w:pPr>
      <w:spacing w:after="280" w:line="300" w:lineRule="exact"/>
    </w:pPr>
    <w:rPr>
      <w:rFonts w:ascii="Georgia" w:hAnsi="Georgia"/>
      <w:sz w:val="22"/>
    </w:rPr>
  </w:style>
  <w:style w:type="character" w:styleId="Hyperlink">
    <w:name w:val="Hyperlink"/>
    <w:basedOn w:val="DefaultParagraphFont"/>
    <w:uiPriority w:val="99"/>
    <w:unhideWhenUsed/>
    <w:rsid w:val="00F15320"/>
    <w:rPr>
      <w:color w:val="6FC1E7"/>
      <w:u w:val="single"/>
    </w:rPr>
  </w:style>
  <w:style w:type="paragraph" w:customStyle="1" w:styleId="GTTitleGold">
    <w:name w:val="GT Title Gold"/>
    <w:basedOn w:val="Normal"/>
    <w:qFormat/>
    <w:rsid w:val="004D3DF9"/>
    <w:rPr>
      <w:rFonts w:ascii="Georgia" w:hAnsi="Georgia"/>
      <w:b/>
      <w:sz w:val="48"/>
      <w:szCs w:val="48"/>
    </w:rPr>
  </w:style>
  <w:style w:type="paragraph" w:customStyle="1" w:styleId="GTFooterGold">
    <w:name w:val="GT Footer Gold"/>
    <w:basedOn w:val="Normal"/>
    <w:qFormat/>
    <w:rsid w:val="004D3DF9"/>
    <w:pPr>
      <w:spacing w:after="240"/>
    </w:pPr>
    <w:rPr>
      <w:rFonts w:ascii="Arial" w:hAnsi="Arial" w:cs="Arial"/>
      <w:b/>
      <w:color w:val="BE9B39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439"/>
    <w:pPr>
      <w:ind w:left="720"/>
      <w:contextualSpacing/>
    </w:pPr>
    <w:rPr>
      <w:rFonts w:ascii="DINMittelschrift" w:eastAsia="Times New Roman" w:hAnsi="DINMittelschrift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454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sfinancial.com/opportunity-zones-economic-recovery-webinar?utm_source=referral&amp;utm_medium=lang-greenberg&amp;utm_campaign=oz-webinar-q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Greenberg Traurig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Bohl</dc:creator>
  <cp:lastModifiedBy>Mangione, Sharon (Mgr-TPA-Mktg)</cp:lastModifiedBy>
  <cp:revision>4</cp:revision>
  <cp:lastPrinted>2015-12-07T20:43:00Z</cp:lastPrinted>
  <dcterms:created xsi:type="dcterms:W3CDTF">2020-04-29T20:09:00Z</dcterms:created>
  <dcterms:modified xsi:type="dcterms:W3CDTF">2020-05-01T14:20:00Z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GEAAO+/T9t20xwl+YXo1QJsNrsRdgRNOGJcXworgDOYLj1NAgag8ngC4WSojw9BCoI8LIHUy15kEw/Pe
XvknOKulgsAgZVyZAPCUlIt957a2avaOVGrx5PNsac796gAHBrzck9tgtXzkvxcMGD32/4XiVTP2
sYVR1a1NzdyTZw+wrrl/X8RAvrCWs84frKplSwzKak0WTZtGoiZA514FMPjpiABregnKcEodWGwV
sGBNqgN2PwdZsvGce</vt:lpwstr>
  </property>
  <property fmtid="{D5CDD505-2E9C-101B-9397-08002B2CF9AE}" pid="3" name="MAIL_MSG_ID2">
    <vt:lpwstr>4xyBGi++ycs</vt:lpwstr>
  </property>
  <property fmtid="{D5CDD505-2E9C-101B-9397-08002B2CF9AE}" pid="4" name="RESPONSE_SENDER_NAME">
    <vt:lpwstr>ABAAgoCixPcRe8lKbZ9aPgVLkvbMkO2btYU4hLAhtduqakkEgQGe3rAZL8/pV0LGh+W9</vt:lpwstr>
  </property>
  <property fmtid="{D5CDD505-2E9C-101B-9397-08002B2CF9AE}" pid="5" name="EMAIL_OWNER_ADDRESS">
    <vt:lpwstr>sAAAE9kkUq3pEoJrCVRGhmg1WMq3SH1/WapWVoCgzC3IrS0=</vt:lpwstr>
  </property>
</Properties>
</file>