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w:body>
    <w:tbl>
      <w:tblPr>
        <w:tblStyle w:val="TableGrid"/>
        <w:tblW w:w="10615"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none" w:sz="0" w:space="0" w:color="auto"/>
        </w:tblBorders>
        <w:shd w:val="clear" w:color="auto" w:fill="FFFFFF" w:themeFill="background1"/>
        <w:tblLook w:val="04A0" w:firstRow="1" w:lastRow="0" w:firstColumn="1" w:lastColumn="0" w:noHBand="0" w:noVBand="1"/>
      </w:tblPr>
      <w:tblGrid>
        <w:gridCol w:w="847"/>
        <w:gridCol w:w="15"/>
        <w:gridCol w:w="8891"/>
        <w:gridCol w:w="862"/>
      </w:tblGrid>
      <w:tr w:rsidR="002F09DE" w:rsidTr="00752C50">
        <w:trPr>
          <w:trHeight w:val="810"/>
          <w:jc w:val="center"/>
        </w:trPr>
        <w:tc>
          <w:tcPr>
            <w:tcW w:w="10615" w:type="dxa"/>
            <w:gridSpan w:val="4"/>
            <w:shd w:val="clear" w:color="auto" w:fill="FFFFFF" w:themeFill="background1"/>
            <w:tcMar>
              <w:left w:w="0" w:type="dxa"/>
              <w:right w:w="0" w:type="dxa"/>
            </w:tcMar>
          </w:tcPr>
          <w:p w:rsidR="002F09DE" w:rsidRDefault="00EB4276">
            <w:r>
              <w:rPr>
                <w:noProof/>
              </w:rPr>
              <w:drawing>
                <wp:inline distT="0" distB="0" distL="0" distR="0" wp14:anchorId="2D30F05D" wp14:editId="4981EE3C">
                  <wp:extent cx="2676525" cy="1176655"/>
                  <wp:effectExtent l="0" t="0" r="9525" b="4445"/>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6525" cy="1176655"/>
                          </a:xfrm>
                          <a:prstGeom prst="rect">
                            <a:avLst/>
                          </a:prstGeom>
                          <a:noFill/>
                        </pic:spPr>
                      </pic:pic>
                    </a:graphicData>
                  </a:graphic>
                </wp:inline>
              </w:drawing>
            </w:r>
          </w:p>
        </w:tc>
      </w:tr>
      <w:tr w:rsidR="00DA1CDF" w:rsidTr="00752C50">
        <w:trPr>
          <w:trHeight w:val="810"/>
          <w:jc w:val="center"/>
        </w:trPr>
        <w:tc>
          <w:tcPr>
            <w:tcW w:w="847" w:type="dxa"/>
            <w:shd w:val="clear" w:color="auto" w:fill="2D2D2D"/>
            <w:tcMar>
              <w:left w:w="0" w:type="dxa"/>
              <w:right w:w="0" w:type="dxa"/>
            </w:tcMar>
          </w:tcPr>
          <w:p w:rsidR="00DA1CDF" w:rsidRDefault="00DA1CDF"/>
        </w:tc>
        <w:tc>
          <w:tcPr>
            <w:tcW w:w="8906" w:type="dxa"/>
            <w:gridSpan w:val="2"/>
            <w:shd w:val="clear" w:color="auto" w:fill="2D2D2D"/>
            <w:tcMar>
              <w:left w:w="0" w:type="dxa"/>
              <w:right w:w="0" w:type="dxa"/>
            </w:tcMar>
            <w:vAlign w:val="center"/>
          </w:tcPr>
          <w:p w:rsidR="00EB4276" w:rsidRPr="00EB4276" w:rsidRDefault="00EB4276" w:rsidP="00EB4276">
            <w:pPr>
              <w:pStyle w:val="GTTitleGold"/>
              <w:rPr>
                <w:sz w:val="30"/>
                <w:szCs w:val="30"/>
              </w:rPr>
            </w:pPr>
          </w:p>
          <w:p w:rsidR="00DA1CDF" w:rsidRDefault="00DA1CDF" w:rsidP="00EB4276">
            <w:pPr>
              <w:pStyle w:val="GTTitleGold"/>
              <w:rPr>
                <w:color w:val="BE9B39"/>
              </w:rPr>
            </w:pPr>
            <w:r w:rsidRPr="00DA1CDF">
              <w:t xml:space="preserve">You are </w:t>
            </w:r>
            <w:r w:rsidRPr="00DA1CDF">
              <w:rPr>
                <w:color w:val="BE9B39"/>
              </w:rPr>
              <w:t>invited</w:t>
            </w:r>
          </w:p>
          <w:p w:rsidR="00EB4276" w:rsidRPr="00EB4276" w:rsidRDefault="00EB4276" w:rsidP="00EB4276">
            <w:pPr>
              <w:pStyle w:val="GTTitleGold"/>
              <w:rPr>
                <w:sz w:val="30"/>
                <w:szCs w:val="30"/>
              </w:rPr>
            </w:pPr>
          </w:p>
        </w:tc>
        <w:tc>
          <w:tcPr>
            <w:tcW w:w="862" w:type="dxa"/>
            <w:shd w:val="clear" w:color="auto" w:fill="2D2D2D"/>
          </w:tcPr>
          <w:p w:rsidR="00DA1CDF" w:rsidRDefault="00DA1CDF"/>
        </w:tc>
      </w:tr>
      <w:tr w:rsidR="002F09DE" w:rsidTr="00752C50">
        <w:trPr>
          <w:trHeight w:val="2304"/>
          <w:jc w:val="center"/>
        </w:trPr>
        <w:tc>
          <w:tcPr>
            <w:tcW w:w="862" w:type="dxa"/>
            <w:gridSpan w:val="2"/>
            <w:shd w:val="clear" w:color="auto" w:fill="FFFFFF" w:themeFill="background1"/>
            <w:tcMar>
              <w:left w:w="0" w:type="dxa"/>
              <w:right w:w="0" w:type="dxa"/>
            </w:tcMar>
          </w:tcPr>
          <w:p w:rsidR="002F09DE" w:rsidRDefault="002F09DE"/>
          <w:p w:rsidR="00095F87" w:rsidRDefault="00095F87"/>
          <w:p w:rsidR="00095F87" w:rsidRDefault="00095F87"/>
          <w:p w:rsidR="00095F87" w:rsidRDefault="00095F87"/>
          <w:p w:rsidR="00095F87" w:rsidRDefault="00095F87"/>
          <w:p w:rsidR="00095F87" w:rsidRDefault="00095F87"/>
          <w:p w:rsidR="00095F87" w:rsidRDefault="00095F87"/>
          <w:p w:rsidR="00095F87" w:rsidRDefault="00095F87"/>
          <w:p w:rsidR="00095F87" w:rsidRDefault="00095F87"/>
          <w:p w:rsidR="00095F87" w:rsidRDefault="00095F87"/>
          <w:p w:rsidR="00095F87" w:rsidRDefault="00095F87"/>
          <w:p w:rsidR="00095F87" w:rsidRDefault="00095F87"/>
          <w:p w:rsidR="00095F87" w:rsidRDefault="00095F87"/>
          <w:p w:rsidR="00095F87" w:rsidRDefault="00095F87"/>
          <w:p w:rsidR="00095F87" w:rsidRDefault="00095F87"/>
          <w:p w:rsidR="00095F87" w:rsidRDefault="00095F87"/>
          <w:p w:rsidR="00095F87" w:rsidRDefault="00095F87"/>
          <w:p w:rsidR="00095F87" w:rsidRDefault="00095F87"/>
          <w:p w:rsidR="00095F87" w:rsidRDefault="00095F87"/>
          <w:p w:rsidR="00095F87" w:rsidRDefault="00095F87"/>
          <w:p w:rsidR="00095F87" w:rsidRDefault="00095F87"/>
          <w:p w:rsidR="00095F87" w:rsidRDefault="00095F87"/>
          <w:p w:rsidR="00095F87" w:rsidRDefault="00095F87"/>
          <w:p w:rsidR="00095F87" w:rsidRDefault="00095F87"/>
          <w:p w:rsidR="00095F87" w:rsidRDefault="00095F87"/>
          <w:p w:rsidR="00095F87" w:rsidRDefault="00095F87"/>
          <w:p w:rsidR="00095F87" w:rsidRDefault="00095F87"/>
          <w:p w:rsidR="00095F87" w:rsidRDefault="00095F87"/>
          <w:p w:rsidR="00095F87" w:rsidRDefault="00095F87"/>
          <w:p w:rsidR="00095F87" w:rsidRDefault="00095F87"/>
          <w:p w:rsidR="00095F87" w:rsidRDefault="00095F87"/>
          <w:p w:rsidR="00095F87" w:rsidRDefault="00095F87"/>
          <w:p w:rsidR="00095F87" w:rsidRDefault="00095F87"/>
          <w:p w:rsidR="00095F87" w:rsidRDefault="00095F87"/>
          <w:p w:rsidR="00095F87" w:rsidRDefault="00095F87"/>
          <w:p w:rsidR="00095F87" w:rsidRDefault="00095F87"/>
          <w:p w:rsidR="00095F87" w:rsidRDefault="00095F87"/>
          <w:p w:rsidR="00966BB9" w:rsidRDefault="00966BB9"/>
          <w:p w:rsidR="00966BB9" w:rsidRDefault="00966BB9"/>
          <w:p w:rsidR="00966BB9" w:rsidRDefault="00966BB9"/>
          <w:p w:rsidR="00966BB9" w:rsidRDefault="00966BB9"/>
          <w:p w:rsidR="00966BB9" w:rsidRDefault="00966BB9"/>
          <w:p w:rsidR="00966BB9" w:rsidRDefault="00966BB9"/>
          <w:p w:rsidR="00966BB9" w:rsidRDefault="00966BB9"/>
          <w:p w:rsidR="00966BB9" w:rsidRDefault="00966BB9"/>
          <w:p w:rsidR="00966BB9" w:rsidRDefault="00966BB9"/>
        </w:tc>
        <w:tc>
          <w:tcPr>
            <w:tcW w:w="8891" w:type="dxa"/>
            <w:shd w:val="clear" w:color="auto" w:fill="FFFFFF" w:themeFill="background1"/>
            <w:tcMar>
              <w:left w:w="0" w:type="dxa"/>
              <w:right w:w="0" w:type="dxa"/>
            </w:tcMar>
          </w:tcPr>
          <w:p w:rsidR="002F09DE" w:rsidRPr="004D3DF9" w:rsidRDefault="00F41CEA" w:rsidP="004D3DF9">
            <w:pPr>
              <w:pStyle w:val="GTBodyCopy"/>
            </w:pPr>
            <w:r>
              <w:rPr>
                <w:rFonts w:ascii="Arial Narrow" w:hAnsi="Arial Narrow"/>
                <w:sz w:val="30"/>
                <w:szCs w:val="30"/>
              </w:rPr>
              <w:br/>
            </w:r>
          </w:p>
          <w:p w:rsidR="00C557CC" w:rsidRDefault="009D2AE0" w:rsidP="009D2AE0">
            <w:pPr>
              <w:pStyle w:val="GTHeading-Gold"/>
              <w:spacing w:after="0"/>
              <w:rPr>
                <w:color w:val="000000" w:themeColor="text1"/>
              </w:rPr>
            </w:pPr>
            <w:r w:rsidRPr="009D2AE0">
              <w:t>Emerging Risk of PFAS Substances</w:t>
            </w:r>
            <w:r>
              <w:t xml:space="preserve"> </w:t>
            </w:r>
            <w:r w:rsidR="00AF3FD7">
              <w:t>Roundtable</w:t>
            </w:r>
            <w:r w:rsidR="00F41CEA" w:rsidRPr="00391251">
              <w:br/>
            </w:r>
          </w:p>
          <w:p w:rsidR="002F09DE" w:rsidRDefault="009D2AE0" w:rsidP="009D2AE0">
            <w:pPr>
              <w:pStyle w:val="GTHeading-Gold"/>
              <w:spacing w:after="0"/>
              <w:rPr>
                <w:color w:val="000000" w:themeColor="text1"/>
              </w:rPr>
            </w:pPr>
            <w:r>
              <w:rPr>
                <w:color w:val="000000" w:themeColor="text1"/>
              </w:rPr>
              <w:t>April</w:t>
            </w:r>
            <w:r w:rsidR="009D66BC">
              <w:rPr>
                <w:color w:val="000000" w:themeColor="text1"/>
              </w:rPr>
              <w:t xml:space="preserve"> </w:t>
            </w:r>
            <w:r>
              <w:rPr>
                <w:color w:val="000000" w:themeColor="text1"/>
              </w:rPr>
              <w:t>4, 2018</w:t>
            </w:r>
          </w:p>
          <w:p w:rsidR="009D2AE0" w:rsidRDefault="00C557CC" w:rsidP="009D2AE0">
            <w:pPr>
              <w:pStyle w:val="GTHeading-Gold"/>
              <w:spacing w:after="0"/>
              <w:rPr>
                <w:color w:val="000000" w:themeColor="text1"/>
              </w:rPr>
            </w:pPr>
            <w:r>
              <w:rPr>
                <w:color w:val="000000" w:themeColor="text1"/>
              </w:rPr>
              <w:t>5:30-6:30</w:t>
            </w:r>
            <w:r w:rsidR="009D66BC">
              <w:rPr>
                <w:color w:val="000000" w:themeColor="text1"/>
              </w:rPr>
              <w:t xml:space="preserve"> </w:t>
            </w:r>
            <w:r>
              <w:rPr>
                <w:color w:val="000000" w:themeColor="text1"/>
              </w:rPr>
              <w:t>p</w:t>
            </w:r>
            <w:r w:rsidR="009D66BC">
              <w:rPr>
                <w:color w:val="000000" w:themeColor="text1"/>
              </w:rPr>
              <w:t>.</w:t>
            </w:r>
            <w:r>
              <w:rPr>
                <w:color w:val="000000" w:themeColor="text1"/>
              </w:rPr>
              <w:t>m</w:t>
            </w:r>
            <w:r w:rsidR="009D66BC">
              <w:rPr>
                <w:color w:val="000000" w:themeColor="text1"/>
              </w:rPr>
              <w:t>.</w:t>
            </w:r>
            <w:r>
              <w:rPr>
                <w:color w:val="000000" w:themeColor="text1"/>
              </w:rPr>
              <w:t xml:space="preserve"> </w:t>
            </w:r>
            <w:r w:rsidR="009D66BC">
              <w:rPr>
                <w:color w:val="000000" w:themeColor="text1"/>
              </w:rPr>
              <w:t>Networking</w:t>
            </w:r>
          </w:p>
          <w:p w:rsidR="00C557CC" w:rsidRDefault="00C557CC" w:rsidP="009D2AE0">
            <w:pPr>
              <w:pStyle w:val="GTHeading-Gold"/>
              <w:spacing w:after="0"/>
              <w:rPr>
                <w:color w:val="000000" w:themeColor="text1"/>
              </w:rPr>
            </w:pPr>
            <w:r>
              <w:rPr>
                <w:color w:val="000000" w:themeColor="text1"/>
              </w:rPr>
              <w:t>6:30-</w:t>
            </w:r>
            <w:r w:rsidR="00D3246E">
              <w:rPr>
                <w:color w:val="000000" w:themeColor="text1"/>
              </w:rPr>
              <w:t>7:30</w:t>
            </w:r>
            <w:r w:rsidR="009D66BC">
              <w:rPr>
                <w:color w:val="000000" w:themeColor="text1"/>
              </w:rPr>
              <w:t xml:space="preserve"> </w:t>
            </w:r>
            <w:r w:rsidR="00D3246E">
              <w:rPr>
                <w:color w:val="000000" w:themeColor="text1"/>
              </w:rPr>
              <w:t>p</w:t>
            </w:r>
            <w:r w:rsidR="009D66BC">
              <w:rPr>
                <w:color w:val="000000" w:themeColor="text1"/>
              </w:rPr>
              <w:t>.</w:t>
            </w:r>
            <w:r w:rsidR="00D3246E">
              <w:rPr>
                <w:color w:val="000000" w:themeColor="text1"/>
              </w:rPr>
              <w:t>m</w:t>
            </w:r>
            <w:r w:rsidR="009D66BC">
              <w:rPr>
                <w:color w:val="000000" w:themeColor="text1"/>
              </w:rPr>
              <w:t>.</w:t>
            </w:r>
            <w:r w:rsidR="00D3246E">
              <w:rPr>
                <w:color w:val="000000" w:themeColor="text1"/>
              </w:rPr>
              <w:t xml:space="preserve"> Roundtable</w:t>
            </w:r>
          </w:p>
          <w:p w:rsidR="009D2AE0" w:rsidRPr="00391251" w:rsidRDefault="009D2AE0" w:rsidP="009D2AE0">
            <w:pPr>
              <w:pStyle w:val="GTHeading-Gold"/>
              <w:spacing w:after="0"/>
            </w:pPr>
          </w:p>
          <w:p w:rsidR="002F09DE" w:rsidRPr="004D3DF9" w:rsidRDefault="009D2AE0" w:rsidP="004D3DF9">
            <w:pPr>
              <w:pStyle w:val="GTBodyCopy"/>
            </w:pPr>
            <w:r>
              <w:t>Chubb USA</w:t>
            </w:r>
            <w:r w:rsidR="00795AD2" w:rsidRPr="004D3DF9">
              <w:br/>
            </w:r>
            <w:r>
              <w:t>436 Walnut Street</w:t>
            </w:r>
            <w:r w:rsidR="00795AD2" w:rsidRPr="004D3DF9">
              <w:br/>
            </w:r>
            <w:r>
              <w:t>Philadelphia, PA 19106</w:t>
            </w:r>
          </w:p>
          <w:p w:rsidR="00095F87" w:rsidRDefault="00AF3FD7" w:rsidP="00795AD2">
            <w:pPr>
              <w:spacing w:after="280" w:line="300" w:lineRule="exact"/>
              <w:rPr>
                <w:rFonts w:ascii="Georgia" w:hAnsi="Georgia"/>
                <w:sz w:val="22"/>
                <w:szCs w:val="22"/>
              </w:rPr>
            </w:pPr>
            <w:r>
              <w:rPr>
                <w:rFonts w:ascii="Georgia" w:hAnsi="Georgia"/>
                <w:sz w:val="22"/>
                <w:szCs w:val="22"/>
              </w:rPr>
              <w:t xml:space="preserve">Please join us </w:t>
            </w:r>
            <w:r w:rsidR="00095F87">
              <w:rPr>
                <w:rFonts w:ascii="Georgia" w:hAnsi="Georgia"/>
                <w:sz w:val="22"/>
                <w:szCs w:val="22"/>
              </w:rPr>
              <w:t>for a</w:t>
            </w:r>
            <w:r>
              <w:rPr>
                <w:rFonts w:ascii="Georgia" w:hAnsi="Georgia"/>
                <w:sz w:val="22"/>
                <w:szCs w:val="22"/>
              </w:rPr>
              <w:t xml:space="preserve"> technical</w:t>
            </w:r>
            <w:r>
              <w:t xml:space="preserve"> </w:t>
            </w:r>
            <w:r w:rsidRPr="00AF3FD7">
              <w:rPr>
                <w:rFonts w:ascii="Georgia" w:hAnsi="Georgia"/>
                <w:sz w:val="22"/>
                <w:szCs w:val="22"/>
              </w:rPr>
              <w:t>introduction to the emerging contaminant from an environmental consulting perspective and discuss regulatory challenges, current litigation, and ways in which the insurance industry is responding.</w:t>
            </w:r>
            <w:r w:rsidR="009D66BC">
              <w:rPr>
                <w:rFonts w:ascii="Georgia" w:hAnsi="Georgia"/>
                <w:sz w:val="22"/>
                <w:szCs w:val="22"/>
              </w:rPr>
              <w:t xml:space="preserve"> Our networking happy hour will include complimentary food and drinks.</w:t>
            </w:r>
            <w:r w:rsidRPr="00AF3FD7">
              <w:rPr>
                <w:rFonts w:ascii="Georgia" w:hAnsi="Georgia"/>
                <w:sz w:val="22"/>
                <w:szCs w:val="22"/>
              </w:rPr>
              <w:t xml:space="preserve">  </w:t>
            </w:r>
          </w:p>
          <w:tbl>
            <w:tblPr>
              <w:tblStyle w:val="TableGrid"/>
              <w:tblW w:w="0" w:type="auto"/>
              <w:tblBorders>
                <w:top w:val="single" w:sz="4" w:space="0" w:color="6FC1E7"/>
                <w:left w:val="single" w:sz="4" w:space="0" w:color="6FC1E7"/>
                <w:bottom w:val="single" w:sz="4" w:space="0" w:color="6FC1E7"/>
                <w:right w:val="single" w:sz="4" w:space="0" w:color="6FC1E7"/>
                <w:insideH w:val="none" w:sz="0" w:space="0" w:color="auto"/>
                <w:insideV w:val="none" w:sz="0" w:space="0" w:color="auto"/>
              </w:tblBorders>
              <w:tblLook w:val="04A0" w:firstRow="1" w:lastRow="0" w:firstColumn="1" w:lastColumn="0" w:noHBand="0" w:noVBand="1"/>
            </w:tblPr>
            <w:tblGrid>
              <w:gridCol w:w="2765"/>
            </w:tblGrid>
            <w:tr w:rsidR="0038440B" w:rsidRPr="00752C50" w:rsidTr="0038440B">
              <w:trPr>
                <w:trHeight w:val="332"/>
              </w:trPr>
              <w:tc>
                <w:tcPr>
                  <w:tcW w:w="2765" w:type="dxa"/>
                  <w:vAlign w:val="center"/>
                </w:tcPr>
                <w:p w:rsidR="0038440B" w:rsidRPr="00752C50" w:rsidRDefault="005D70AA" w:rsidP="0038440B">
                  <w:pPr>
                    <w:jc w:val="center"/>
                    <w:rPr>
                      <w:b/>
                      <w:sz w:val="30"/>
                      <w:szCs w:val="30"/>
                    </w:rPr>
                  </w:pPr>
                  <w:hyperlink r:id="rId7" w:history="1">
                    <w:r w:rsidRPr="005D70AA">
                      <w:rPr>
                        <w:rStyle w:val="Hyperlink"/>
                        <w:b/>
                        <w:sz w:val="30"/>
                        <w:szCs w:val="30"/>
                      </w:rPr>
                      <w:t>RSVP</w:t>
                    </w:r>
                  </w:hyperlink>
                </w:p>
              </w:tc>
            </w:tr>
          </w:tbl>
          <w:p w:rsidR="00F165CD" w:rsidRDefault="00F165CD" w:rsidP="0038440B">
            <w:pPr>
              <w:spacing w:line="300" w:lineRule="exact"/>
              <w:rPr>
                <w:rFonts w:ascii="Georgia" w:hAnsi="Georgia"/>
                <w:sz w:val="22"/>
                <w:szCs w:val="22"/>
              </w:rPr>
            </w:pPr>
          </w:p>
          <w:p w:rsidR="00752C50" w:rsidRDefault="00752C50" w:rsidP="00F165CD"/>
          <w:p w:rsidR="00752C50" w:rsidRDefault="00752C50" w:rsidP="00F165CD">
            <w:pPr>
              <w:rPr>
                <w:rStyle w:val="Strong"/>
                <w:rFonts w:ascii="Georgia" w:hAnsi="Georgia"/>
                <w:color w:val="000000"/>
              </w:rPr>
            </w:pPr>
            <w:r>
              <w:rPr>
                <w:rStyle w:val="Strong"/>
                <w:rFonts w:ascii="Georgia" w:hAnsi="Georgia"/>
                <w:color w:val="000000"/>
              </w:rPr>
              <w:t>Moderator:</w:t>
            </w:r>
          </w:p>
          <w:p w:rsidR="00AF3FD7" w:rsidRDefault="005D70AA" w:rsidP="00F165CD">
            <w:hyperlink r:id="rId8" w:history="1">
              <w:r w:rsidR="00095F87" w:rsidRPr="00752C50">
                <w:rPr>
                  <w:rStyle w:val="Hyperlink"/>
                </w:rPr>
                <w:t>Candee Wilde, Esq.</w:t>
              </w:r>
            </w:hyperlink>
            <w:bookmarkStart w:id="0" w:name="_GoBack"/>
            <w:bookmarkEnd w:id="0"/>
          </w:p>
          <w:p w:rsidR="00095F87" w:rsidRDefault="00095F87" w:rsidP="00F165CD">
            <w:r>
              <w:t>Greenberg Traurig, LLP</w:t>
            </w:r>
          </w:p>
          <w:p w:rsidR="00F165CD" w:rsidRDefault="00F165CD" w:rsidP="00F165CD"/>
          <w:p w:rsidR="00F165CD" w:rsidRDefault="00752C50" w:rsidP="00F165CD">
            <w:pPr>
              <w:rPr>
                <w:rStyle w:val="Strong"/>
                <w:rFonts w:ascii="Georgia" w:hAnsi="Georgia"/>
                <w:color w:val="000000"/>
              </w:rPr>
            </w:pPr>
            <w:r>
              <w:rPr>
                <w:rStyle w:val="Strong"/>
                <w:rFonts w:ascii="Georgia" w:hAnsi="Georgia"/>
                <w:color w:val="000000"/>
              </w:rPr>
              <w:t>Panelists:</w:t>
            </w:r>
          </w:p>
          <w:p w:rsidR="00752C50" w:rsidRDefault="00752C50" w:rsidP="00F165CD"/>
          <w:p w:rsidR="00095F87" w:rsidRDefault="00160E5F" w:rsidP="00335DB3">
            <w:pPr>
              <w:spacing w:line="300" w:lineRule="exact"/>
              <w:rPr>
                <w:sz w:val="20"/>
                <w:szCs w:val="20"/>
              </w:rPr>
            </w:pPr>
            <w:r w:rsidRPr="00966BB9">
              <w:rPr>
                <w:noProof/>
                <w:sz w:val="20"/>
                <w:szCs w:val="20"/>
              </w:rPr>
              <w:drawing>
                <wp:anchor distT="0" distB="0" distL="114300" distR="114300" simplePos="0" relativeHeight="251658240" behindDoc="0" locked="0" layoutInCell="1" allowOverlap="1" wp14:anchorId="76073B08" wp14:editId="0E70A196">
                  <wp:simplePos x="0" y="0"/>
                  <wp:positionH relativeFrom="column">
                    <wp:align>left</wp:align>
                  </wp:positionH>
                  <wp:positionV relativeFrom="paragraph">
                    <wp:posOffset>318770</wp:posOffset>
                  </wp:positionV>
                  <wp:extent cx="1019293" cy="118872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293" cy="1188720"/>
                          </a:xfrm>
                          <a:prstGeom prst="rect">
                            <a:avLst/>
                          </a:prstGeom>
                          <a:noFill/>
                        </pic:spPr>
                      </pic:pic>
                    </a:graphicData>
                  </a:graphic>
                  <wp14:sizeRelH relativeFrom="page">
                    <wp14:pctWidth>0</wp14:pctWidth>
                  </wp14:sizeRelH>
                  <wp14:sizeRelV relativeFrom="page">
                    <wp14:pctHeight>0</wp14:pctHeight>
                  </wp14:sizeRelV>
                </wp:anchor>
              </w:drawing>
            </w:r>
            <w:hyperlink r:id="rId10" w:history="1">
              <w:r w:rsidR="00966BB9" w:rsidRPr="00335DB3">
                <w:rPr>
                  <w:rStyle w:val="Hyperlink"/>
                  <w:sz w:val="20"/>
                  <w:szCs w:val="20"/>
                </w:rPr>
                <w:t>Kaitlyn R. Maxwell, Esq</w:t>
              </w:r>
            </w:hyperlink>
            <w:r w:rsidR="00966BB9" w:rsidRPr="00966BB9">
              <w:rPr>
                <w:sz w:val="20"/>
                <w:szCs w:val="20"/>
              </w:rPr>
              <w:t>. practices in the environmental group of Greenberg Traurig, LLP. Her principal office is in Philadelphia. She focuses her practice on environmental litigation. Ms. Maxwell advises clients on regulatory compliance issues and represents clients in litigation in state and federal courts. Her work includes litigation of major contamination cases under the hazardous waste and Superfund laws. She also advises clients in transactions involving the sale of contaminated real property.</w:t>
            </w:r>
          </w:p>
          <w:p w:rsidR="00F165CD" w:rsidRDefault="00F165CD" w:rsidP="00335DB3">
            <w:pPr>
              <w:spacing w:line="300" w:lineRule="exact"/>
              <w:rPr>
                <w:noProof/>
              </w:rPr>
            </w:pPr>
          </w:p>
          <w:p w:rsidR="00F165CD" w:rsidRDefault="00F165CD" w:rsidP="00DC4350">
            <w:pPr>
              <w:spacing w:line="300" w:lineRule="exact"/>
              <w:ind w:left="159"/>
              <w:rPr>
                <w:sz w:val="20"/>
                <w:szCs w:val="20"/>
              </w:rPr>
            </w:pPr>
            <w:r>
              <w:rPr>
                <w:noProof/>
              </w:rPr>
              <w:drawing>
                <wp:inline distT="0" distB="0" distL="0" distR="0" wp14:anchorId="11F3BEC1" wp14:editId="4EE99B9F">
                  <wp:extent cx="1097280" cy="17834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TLogo_54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7280" cy="178349"/>
                          </a:xfrm>
                          <a:prstGeom prst="rect">
                            <a:avLst/>
                          </a:prstGeom>
                        </pic:spPr>
                      </pic:pic>
                    </a:graphicData>
                  </a:graphic>
                </wp:inline>
              </w:drawing>
            </w:r>
          </w:p>
          <w:p w:rsidR="00335DB3" w:rsidRDefault="00335DB3" w:rsidP="00335DB3">
            <w:pPr>
              <w:spacing w:line="300" w:lineRule="exact"/>
              <w:rPr>
                <w:sz w:val="20"/>
                <w:szCs w:val="20"/>
              </w:rPr>
            </w:pPr>
          </w:p>
          <w:p w:rsidR="00160E5F" w:rsidRDefault="00AD11F2" w:rsidP="00335DB3">
            <w:pPr>
              <w:spacing w:line="300" w:lineRule="exact"/>
              <w:rPr>
                <w:sz w:val="20"/>
                <w:szCs w:val="20"/>
              </w:rPr>
            </w:pPr>
            <w:r>
              <w:rPr>
                <w:noProof/>
                <w:sz w:val="20"/>
                <w:szCs w:val="20"/>
              </w:rPr>
              <w:drawing>
                <wp:anchor distT="0" distB="0" distL="114300" distR="114300" simplePos="0" relativeHeight="251659264" behindDoc="0" locked="0" layoutInCell="1" allowOverlap="1" wp14:anchorId="730414BA" wp14:editId="7E9C07F9">
                  <wp:simplePos x="0" y="0"/>
                  <wp:positionH relativeFrom="column">
                    <wp:align>left</wp:align>
                  </wp:positionH>
                  <wp:positionV relativeFrom="paragraph">
                    <wp:posOffset>-1143000</wp:posOffset>
                  </wp:positionV>
                  <wp:extent cx="998015" cy="13716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8015" cy="1371600"/>
                          </a:xfrm>
                          <a:prstGeom prst="rect">
                            <a:avLst/>
                          </a:prstGeom>
                          <a:noFill/>
                        </pic:spPr>
                      </pic:pic>
                    </a:graphicData>
                  </a:graphic>
                  <wp14:sizeRelH relativeFrom="page">
                    <wp14:pctWidth>0</wp14:pctWidth>
                  </wp14:sizeRelH>
                  <wp14:sizeRelV relativeFrom="page">
                    <wp14:pctHeight>0</wp14:pctHeight>
                  </wp14:sizeRelV>
                </wp:anchor>
              </w:drawing>
            </w:r>
            <w:hyperlink r:id="rId13" w:history="1">
              <w:proofErr w:type="spellStart"/>
              <w:r w:rsidRPr="00335DB3">
                <w:rPr>
                  <w:rStyle w:val="Hyperlink"/>
                  <w:sz w:val="20"/>
                  <w:szCs w:val="20"/>
                </w:rPr>
                <w:t>BobbiAnn</w:t>
              </w:r>
              <w:proofErr w:type="spellEnd"/>
              <w:r w:rsidRPr="00335DB3">
                <w:rPr>
                  <w:rStyle w:val="Hyperlink"/>
                  <w:sz w:val="20"/>
                  <w:szCs w:val="20"/>
                </w:rPr>
                <w:t xml:space="preserve"> Murphy</w:t>
              </w:r>
            </w:hyperlink>
            <w:r w:rsidRPr="00AD11F2">
              <w:rPr>
                <w:sz w:val="20"/>
                <w:szCs w:val="20"/>
              </w:rPr>
              <w:t xml:space="preserve"> is a consultant at Antea Group with over ten years of experience in various aspects of the environmental consulting industry. Her expertise includes insurance claim investigation, regulatory guidance and interpretation, environmental liability management, environmental liability transfers, site characterization, remedial feasibility studies and implementation, environmental due diligence assessments, regulatory agency negotiations and strategizing, litigation support, and environmental compliance assessments.</w:t>
            </w:r>
          </w:p>
          <w:p w:rsidR="00DC4350" w:rsidRDefault="00DC4350" w:rsidP="00335DB3">
            <w:pPr>
              <w:spacing w:line="300" w:lineRule="exact"/>
              <w:rPr>
                <w:sz w:val="20"/>
                <w:szCs w:val="20"/>
              </w:rPr>
            </w:pPr>
          </w:p>
          <w:p w:rsidR="00DC4350" w:rsidRDefault="00DC4350" w:rsidP="00335DB3">
            <w:pPr>
              <w:spacing w:line="300" w:lineRule="exact"/>
              <w:rPr>
                <w:noProof/>
              </w:rPr>
            </w:pPr>
          </w:p>
          <w:p w:rsidR="00DC4350" w:rsidRDefault="00DC4350" w:rsidP="00335DB3">
            <w:pPr>
              <w:spacing w:line="300" w:lineRule="exact"/>
              <w:rPr>
                <w:sz w:val="20"/>
                <w:szCs w:val="20"/>
              </w:rPr>
            </w:pPr>
          </w:p>
          <w:p w:rsidR="00335DB3" w:rsidRDefault="00335DB3" w:rsidP="00335DB3">
            <w:pPr>
              <w:spacing w:line="300" w:lineRule="exact"/>
              <w:rPr>
                <w:sz w:val="20"/>
                <w:szCs w:val="20"/>
              </w:rPr>
            </w:pPr>
          </w:p>
          <w:p w:rsidR="00160E5F" w:rsidRDefault="00335DB3" w:rsidP="00335DB3">
            <w:pPr>
              <w:spacing w:line="300" w:lineRule="exact"/>
              <w:rPr>
                <w:sz w:val="20"/>
                <w:szCs w:val="20"/>
              </w:rPr>
            </w:pPr>
            <w:r>
              <w:rPr>
                <w:noProof/>
                <w:sz w:val="20"/>
                <w:szCs w:val="20"/>
              </w:rPr>
              <w:drawing>
                <wp:anchor distT="0" distB="0" distL="114300" distR="114300" simplePos="0" relativeHeight="251660288" behindDoc="0" locked="0" layoutInCell="1" allowOverlap="1" wp14:anchorId="42EAC495" wp14:editId="43845BF9">
                  <wp:simplePos x="0" y="0"/>
                  <wp:positionH relativeFrom="column">
                    <wp:align>left</wp:align>
                  </wp:positionH>
                  <wp:positionV relativeFrom="paragraph">
                    <wp:posOffset>-1259840</wp:posOffset>
                  </wp:positionV>
                  <wp:extent cx="971637" cy="1463040"/>
                  <wp:effectExtent l="0" t="0" r="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1637" cy="1463040"/>
                          </a:xfrm>
                          <a:prstGeom prst="rect">
                            <a:avLst/>
                          </a:prstGeom>
                          <a:noFill/>
                        </pic:spPr>
                      </pic:pic>
                    </a:graphicData>
                  </a:graphic>
                  <wp14:sizeRelH relativeFrom="page">
                    <wp14:pctWidth>0</wp14:pctWidth>
                  </wp14:sizeRelH>
                  <wp14:sizeRelV relativeFrom="page">
                    <wp14:pctHeight>0</wp14:pctHeight>
                  </wp14:sizeRelV>
                </wp:anchor>
              </w:drawing>
            </w:r>
            <w:hyperlink r:id="rId15" w:history="1">
              <w:r w:rsidRPr="00D3246E">
                <w:rPr>
                  <w:rStyle w:val="Hyperlink"/>
                  <w:sz w:val="20"/>
                  <w:szCs w:val="20"/>
                </w:rPr>
                <w:t xml:space="preserve">Steve </w:t>
              </w:r>
              <w:proofErr w:type="spellStart"/>
              <w:r w:rsidRPr="00D3246E">
                <w:rPr>
                  <w:rStyle w:val="Hyperlink"/>
                  <w:sz w:val="20"/>
                  <w:szCs w:val="20"/>
                </w:rPr>
                <w:t>Piatkowski</w:t>
              </w:r>
              <w:proofErr w:type="spellEnd"/>
            </w:hyperlink>
            <w:r w:rsidRPr="00335DB3">
              <w:rPr>
                <w:sz w:val="20"/>
                <w:szCs w:val="20"/>
              </w:rPr>
              <w:t>, Senior Vice President, Chubb Environmental, based in Philadelphia, PA has both national and international responsibility for the technical evaluation of risks for all of the company’s environmental insurance lines. With a strong underwriting background, Steve also supports the various business units in developing policy pricing, terms, and conditions based on engineering data available. In addition, Steve also serves as the technical liaison between Chubb Environmental claims and Chubb Environmental underwriting, as well as manages Chubb Environmental’ s North American and international underwriting audit programs.</w:t>
            </w:r>
          </w:p>
          <w:p w:rsidR="00966BB9" w:rsidRDefault="00C557CC" w:rsidP="00966BB9">
            <w:pPr>
              <w:spacing w:after="280" w:line="300" w:lineRule="exact"/>
              <w:rPr>
                <w:sz w:val="20"/>
                <w:szCs w:val="20"/>
              </w:rPr>
            </w:pPr>
            <w:r>
              <w:rPr>
                <w:noProof/>
              </w:rPr>
              <w:drawing>
                <wp:anchor distT="0" distB="0" distL="114300" distR="114300" simplePos="0" relativeHeight="251662336" behindDoc="0" locked="0" layoutInCell="1" allowOverlap="1" wp14:anchorId="47C9431D" wp14:editId="0F207958">
                  <wp:simplePos x="0" y="0"/>
                  <wp:positionH relativeFrom="column">
                    <wp:align>left</wp:align>
                  </wp:positionH>
                  <wp:positionV relativeFrom="paragraph">
                    <wp:posOffset>-80010</wp:posOffset>
                  </wp:positionV>
                  <wp:extent cx="1219200" cy="2286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chubb.PNG"/>
                          <pic:cNvPicPr/>
                        </pic:nvPicPr>
                        <pic:blipFill>
                          <a:blip r:embed="rId16">
                            <a:extLst>
                              <a:ext uri="{28A0092B-C50C-407E-A947-70E740481C1C}">
                                <a14:useLocalDpi xmlns:a14="http://schemas.microsoft.com/office/drawing/2010/main" val="0"/>
                              </a:ext>
                            </a:extLst>
                          </a:blip>
                          <a:stretch>
                            <a:fillRect/>
                          </a:stretch>
                        </pic:blipFill>
                        <pic:spPr>
                          <a:xfrm>
                            <a:off x="0" y="0"/>
                            <a:ext cx="1219370" cy="228632"/>
                          </a:xfrm>
                          <a:prstGeom prst="rect">
                            <a:avLst/>
                          </a:prstGeom>
                        </pic:spPr>
                      </pic:pic>
                    </a:graphicData>
                  </a:graphic>
                  <wp14:sizeRelH relativeFrom="page">
                    <wp14:pctWidth>0</wp14:pctWidth>
                  </wp14:sizeRelH>
                  <wp14:sizeRelV relativeFrom="page">
                    <wp14:pctHeight>0</wp14:pctHeight>
                  </wp14:sizeRelV>
                </wp:anchor>
              </w:drawing>
            </w:r>
          </w:p>
          <w:p w:rsidR="00F165CD" w:rsidRPr="00966BB9" w:rsidRDefault="00C557CC" w:rsidP="00F165CD">
            <w:pPr>
              <w:spacing w:after="280" w:line="300" w:lineRule="exact"/>
              <w:rPr>
                <w:sz w:val="20"/>
                <w:szCs w:val="20"/>
              </w:rPr>
            </w:pPr>
            <w:r>
              <w:rPr>
                <w:noProof/>
              </w:rPr>
              <w:drawing>
                <wp:anchor distT="0" distB="0" distL="114300" distR="114300" simplePos="0" relativeHeight="251661312" behindDoc="0" locked="0" layoutInCell="1" allowOverlap="1" wp14:anchorId="6BDBD538" wp14:editId="6B8FC4A5">
                  <wp:simplePos x="0" y="0"/>
                  <wp:positionH relativeFrom="column">
                    <wp:posOffset>31115</wp:posOffset>
                  </wp:positionH>
                  <wp:positionV relativeFrom="paragraph">
                    <wp:posOffset>-2743835</wp:posOffset>
                  </wp:positionV>
                  <wp:extent cx="1097280" cy="675640"/>
                  <wp:effectExtent l="0" t="0" r="762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PNG"/>
                          <pic:cNvPicPr/>
                        </pic:nvPicPr>
                        <pic:blipFill>
                          <a:blip r:embed="rId17">
                            <a:extLst>
                              <a:ext uri="{28A0092B-C50C-407E-A947-70E740481C1C}">
                                <a14:useLocalDpi xmlns:a14="http://schemas.microsoft.com/office/drawing/2010/main" val="0"/>
                              </a:ext>
                            </a:extLst>
                          </a:blip>
                          <a:stretch>
                            <a:fillRect/>
                          </a:stretch>
                        </pic:blipFill>
                        <pic:spPr>
                          <a:xfrm>
                            <a:off x="0" y="0"/>
                            <a:ext cx="1097280" cy="675640"/>
                          </a:xfrm>
                          <a:prstGeom prst="rect">
                            <a:avLst/>
                          </a:prstGeom>
                        </pic:spPr>
                      </pic:pic>
                    </a:graphicData>
                  </a:graphic>
                  <wp14:sizeRelH relativeFrom="page">
                    <wp14:pctWidth>0</wp14:pctWidth>
                  </wp14:sizeRelH>
                  <wp14:sizeRelV relativeFrom="page">
                    <wp14:pctHeight>0</wp14:pctHeight>
                  </wp14:sizeRelV>
                </wp:anchor>
              </w:drawing>
            </w:r>
          </w:p>
        </w:tc>
        <w:tc>
          <w:tcPr>
            <w:tcW w:w="862" w:type="dxa"/>
            <w:shd w:val="clear" w:color="auto" w:fill="FFFFFF" w:themeFill="background1"/>
          </w:tcPr>
          <w:p w:rsidR="002F09DE" w:rsidRDefault="002F09DE"/>
        </w:tc>
      </w:tr>
      <w:tr w:rsidR="009B601F" w:rsidTr="00752C50">
        <w:trPr>
          <w:trHeight w:val="1233"/>
          <w:jc w:val="center"/>
        </w:trPr>
        <w:tc>
          <w:tcPr>
            <w:tcW w:w="862" w:type="dxa"/>
            <w:gridSpan w:val="2"/>
            <w:shd w:val="clear" w:color="auto" w:fill="2D2D2D"/>
            <w:tcMar>
              <w:left w:w="0" w:type="dxa"/>
              <w:right w:w="0" w:type="dxa"/>
            </w:tcMar>
            <w:vAlign w:val="center"/>
          </w:tcPr>
          <w:p w:rsidR="009B601F" w:rsidRPr="009B601F" w:rsidRDefault="009B601F" w:rsidP="003D63AF"/>
        </w:tc>
        <w:tc>
          <w:tcPr>
            <w:tcW w:w="8891" w:type="dxa"/>
            <w:shd w:val="clear" w:color="auto" w:fill="2D2D2D"/>
            <w:tcMar>
              <w:left w:w="0" w:type="dxa"/>
              <w:right w:w="0" w:type="dxa"/>
            </w:tcMar>
            <w:vAlign w:val="center"/>
          </w:tcPr>
          <w:p w:rsidR="00D3246E" w:rsidRDefault="00D3246E" w:rsidP="003D63AF">
            <w:pPr>
              <w:pStyle w:val="GTFooterGold"/>
              <w:spacing w:after="0"/>
              <w:rPr>
                <w:sz w:val="20"/>
                <w:szCs w:val="20"/>
              </w:rPr>
            </w:pPr>
          </w:p>
          <w:p w:rsidR="00D3246E" w:rsidRDefault="005D70AA" w:rsidP="003D63AF">
            <w:pPr>
              <w:pStyle w:val="GTFooterGold"/>
              <w:spacing w:after="0"/>
              <w:rPr>
                <w:sz w:val="20"/>
                <w:szCs w:val="20"/>
              </w:rPr>
            </w:pPr>
            <w:hyperlink r:id="rId18" w:history="1">
              <w:r w:rsidR="00D3246E" w:rsidRPr="00D3246E">
                <w:rPr>
                  <w:rStyle w:val="Hyperlink"/>
                  <w:sz w:val="20"/>
                  <w:szCs w:val="20"/>
                </w:rPr>
                <w:t>About YEPN</w:t>
              </w:r>
            </w:hyperlink>
            <w:r w:rsidR="00D3246E">
              <w:rPr>
                <w:sz w:val="20"/>
                <w:szCs w:val="20"/>
              </w:rPr>
              <w:t xml:space="preserve"> I </w:t>
            </w:r>
            <w:r w:rsidR="00D3246E" w:rsidRPr="00F165CD">
              <w:rPr>
                <w:sz w:val="20"/>
                <w:szCs w:val="20"/>
              </w:rPr>
              <w:t>Philadelphia is one of the most environmentally sustainable and conscious cities in the United States. In the public sphere, we boast excellent water management and infrastructure, innovative programs to reduce carbon emissions, and a strong Office of Sustainability working on all aspects of city sustainability. In the private and state government sectors, we have environmental researchers at our universities, environmental consulting and remediation firms, environmental lawyers, the EPA Region 3 headquarters, and many others.</w:t>
            </w:r>
            <w:r w:rsidR="00D3246E">
              <w:rPr>
                <w:sz w:val="20"/>
                <w:szCs w:val="20"/>
              </w:rPr>
              <w:t xml:space="preserve"> </w:t>
            </w:r>
            <w:r w:rsidR="00D3246E" w:rsidRPr="00F165CD">
              <w:rPr>
                <w:sz w:val="20"/>
                <w:szCs w:val="20"/>
              </w:rPr>
              <w:t>The Young Environmental Professionals Network of Philadelphia seeks to connect these passionate professionals.</w:t>
            </w:r>
          </w:p>
          <w:p w:rsidR="009B601F" w:rsidRPr="009B601F" w:rsidRDefault="009B601F" w:rsidP="00D3246E">
            <w:pPr>
              <w:pStyle w:val="GTFooterGold"/>
              <w:spacing w:after="0"/>
            </w:pPr>
          </w:p>
        </w:tc>
        <w:tc>
          <w:tcPr>
            <w:tcW w:w="862" w:type="dxa"/>
            <w:shd w:val="clear" w:color="auto" w:fill="2D2D2D"/>
            <w:vAlign w:val="center"/>
          </w:tcPr>
          <w:p w:rsidR="009B601F" w:rsidRPr="009B601F" w:rsidRDefault="009B601F" w:rsidP="009B601F"/>
        </w:tc>
      </w:tr>
      <w:tr w:rsidR="002F09DE" w:rsidTr="00752C50">
        <w:trPr>
          <w:trHeight w:val="162"/>
          <w:jc w:val="center"/>
        </w:trPr>
        <w:tc>
          <w:tcPr>
            <w:tcW w:w="862" w:type="dxa"/>
            <w:gridSpan w:val="2"/>
            <w:shd w:val="clear" w:color="auto" w:fill="FFFFFF" w:themeFill="background1"/>
            <w:tcMar>
              <w:left w:w="0" w:type="dxa"/>
              <w:right w:w="0" w:type="dxa"/>
            </w:tcMar>
          </w:tcPr>
          <w:p w:rsidR="002F09DE" w:rsidRDefault="002F09DE"/>
        </w:tc>
        <w:tc>
          <w:tcPr>
            <w:tcW w:w="8891" w:type="dxa"/>
            <w:shd w:val="clear" w:color="auto" w:fill="FFFFFF" w:themeFill="background1"/>
            <w:tcMar>
              <w:left w:w="0" w:type="dxa"/>
              <w:right w:w="0" w:type="dxa"/>
            </w:tcMar>
          </w:tcPr>
          <w:p w:rsidR="002F09DE" w:rsidRPr="00795AD2" w:rsidRDefault="002F09DE" w:rsidP="00A24B54">
            <w:pPr>
              <w:pStyle w:val="GTBodyCopy"/>
            </w:pPr>
          </w:p>
        </w:tc>
        <w:tc>
          <w:tcPr>
            <w:tcW w:w="862" w:type="dxa"/>
            <w:shd w:val="clear" w:color="auto" w:fill="FFFFFF" w:themeFill="background1"/>
          </w:tcPr>
          <w:p w:rsidR="002F09DE" w:rsidRDefault="002F09DE"/>
        </w:tc>
      </w:tr>
    </w:tbl>
    <w:p w:rsidR="002F09DE" w:rsidRDefault="002F09DE"/>
    <w:sectPr w:rsidR="002F09DE">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9DE"/>
    <w:rsid w:val="00015200"/>
    <w:rsid w:val="00095F87"/>
    <w:rsid w:val="00160E5F"/>
    <w:rsid w:val="00212A27"/>
    <w:rsid w:val="002F09DE"/>
    <w:rsid w:val="00335DB3"/>
    <w:rsid w:val="0038440B"/>
    <w:rsid w:val="00391251"/>
    <w:rsid w:val="003D63AF"/>
    <w:rsid w:val="00491A5C"/>
    <w:rsid w:val="004B0530"/>
    <w:rsid w:val="004D3DF9"/>
    <w:rsid w:val="00566B0F"/>
    <w:rsid w:val="005D70AA"/>
    <w:rsid w:val="00671545"/>
    <w:rsid w:val="00752C50"/>
    <w:rsid w:val="00795AD2"/>
    <w:rsid w:val="007B01DA"/>
    <w:rsid w:val="00966BB9"/>
    <w:rsid w:val="009B601F"/>
    <w:rsid w:val="009D2AE0"/>
    <w:rsid w:val="009D66BC"/>
    <w:rsid w:val="009F2248"/>
    <w:rsid w:val="00A24B54"/>
    <w:rsid w:val="00A57672"/>
    <w:rsid w:val="00AD11F2"/>
    <w:rsid w:val="00AF3FD7"/>
    <w:rsid w:val="00C17D2B"/>
    <w:rsid w:val="00C557CC"/>
    <w:rsid w:val="00D3246E"/>
    <w:rsid w:val="00DA1CDF"/>
    <w:rsid w:val="00DC4350"/>
    <w:rsid w:val="00E66E1F"/>
    <w:rsid w:val="00EB4276"/>
    <w:rsid w:val="00F15320"/>
    <w:rsid w:val="00F165CD"/>
    <w:rsid w:val="00F41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05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D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THeading-Gold">
    <w:name w:val="GT Heading - Gold"/>
    <w:basedOn w:val="Normal"/>
    <w:qFormat/>
    <w:rsid w:val="004D3DF9"/>
    <w:pPr>
      <w:spacing w:after="280"/>
    </w:pPr>
    <w:rPr>
      <w:rFonts w:ascii="Georgia" w:hAnsi="Georgia"/>
      <w:b/>
      <w:color w:val="BE9B39"/>
      <w:sz w:val="32"/>
      <w:szCs w:val="32"/>
    </w:rPr>
  </w:style>
  <w:style w:type="paragraph" w:customStyle="1" w:styleId="GTBodyCopy">
    <w:name w:val="GT Body Copy"/>
    <w:basedOn w:val="Normal"/>
    <w:qFormat/>
    <w:rsid w:val="004D3DF9"/>
    <w:pPr>
      <w:spacing w:after="280" w:line="300" w:lineRule="exact"/>
    </w:pPr>
    <w:rPr>
      <w:rFonts w:ascii="Georgia" w:hAnsi="Georgia"/>
      <w:sz w:val="22"/>
    </w:rPr>
  </w:style>
  <w:style w:type="character" w:styleId="Hyperlink">
    <w:name w:val="Hyperlink"/>
    <w:basedOn w:val="DefaultParagraphFont"/>
    <w:uiPriority w:val="99"/>
    <w:unhideWhenUsed/>
    <w:rsid w:val="00F15320"/>
    <w:rPr>
      <w:color w:val="6FC1E7"/>
      <w:u w:val="single"/>
    </w:rPr>
  </w:style>
  <w:style w:type="paragraph" w:customStyle="1" w:styleId="GTTitleGold">
    <w:name w:val="GT Title Gold"/>
    <w:basedOn w:val="Normal"/>
    <w:qFormat/>
    <w:rsid w:val="004D3DF9"/>
    <w:rPr>
      <w:rFonts w:ascii="Georgia" w:hAnsi="Georgia"/>
      <w:b/>
      <w:sz w:val="48"/>
      <w:szCs w:val="48"/>
    </w:rPr>
  </w:style>
  <w:style w:type="paragraph" w:customStyle="1" w:styleId="GTFooterGold">
    <w:name w:val="GT Footer Gold"/>
    <w:basedOn w:val="Normal"/>
    <w:qFormat/>
    <w:rsid w:val="004D3DF9"/>
    <w:pPr>
      <w:spacing w:after="240"/>
    </w:pPr>
    <w:rPr>
      <w:rFonts w:ascii="Arial" w:hAnsi="Arial" w:cs="Arial"/>
      <w:b/>
      <w:color w:val="BE9B39"/>
      <w:sz w:val="16"/>
      <w:szCs w:val="16"/>
    </w:rPr>
  </w:style>
  <w:style w:type="character" w:styleId="FollowedHyperlink">
    <w:name w:val="FollowedHyperlink"/>
    <w:basedOn w:val="DefaultParagraphFont"/>
    <w:uiPriority w:val="99"/>
    <w:semiHidden/>
    <w:unhideWhenUsed/>
    <w:rsid w:val="00671545"/>
    <w:rPr>
      <w:color w:val="800080" w:themeColor="followedHyperlink"/>
      <w:u w:val="single"/>
    </w:rPr>
  </w:style>
  <w:style w:type="character" w:styleId="Strong">
    <w:name w:val="Strong"/>
    <w:basedOn w:val="DefaultParagraphFont"/>
    <w:uiPriority w:val="22"/>
    <w:qFormat/>
    <w:rsid w:val="00752C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D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THeading-Gold">
    <w:name w:val="GT Heading - Gold"/>
    <w:basedOn w:val="Normal"/>
    <w:qFormat/>
    <w:rsid w:val="004D3DF9"/>
    <w:pPr>
      <w:spacing w:after="280"/>
    </w:pPr>
    <w:rPr>
      <w:rFonts w:ascii="Georgia" w:hAnsi="Georgia"/>
      <w:b/>
      <w:color w:val="BE9B39"/>
      <w:sz w:val="32"/>
      <w:szCs w:val="32"/>
    </w:rPr>
  </w:style>
  <w:style w:type="paragraph" w:customStyle="1" w:styleId="GTBodyCopy">
    <w:name w:val="GT Body Copy"/>
    <w:basedOn w:val="Normal"/>
    <w:qFormat/>
    <w:rsid w:val="004D3DF9"/>
    <w:pPr>
      <w:spacing w:after="280" w:line="300" w:lineRule="exact"/>
    </w:pPr>
    <w:rPr>
      <w:rFonts w:ascii="Georgia" w:hAnsi="Georgia"/>
      <w:sz w:val="22"/>
    </w:rPr>
  </w:style>
  <w:style w:type="character" w:styleId="Hyperlink">
    <w:name w:val="Hyperlink"/>
    <w:basedOn w:val="DefaultParagraphFont"/>
    <w:uiPriority w:val="99"/>
    <w:unhideWhenUsed/>
    <w:rsid w:val="00F15320"/>
    <w:rPr>
      <w:color w:val="6FC1E7"/>
      <w:u w:val="single"/>
    </w:rPr>
  </w:style>
  <w:style w:type="paragraph" w:customStyle="1" w:styleId="GTTitleGold">
    <w:name w:val="GT Title Gold"/>
    <w:basedOn w:val="Normal"/>
    <w:qFormat/>
    <w:rsid w:val="004D3DF9"/>
    <w:rPr>
      <w:rFonts w:ascii="Georgia" w:hAnsi="Georgia"/>
      <w:b/>
      <w:sz w:val="48"/>
      <w:szCs w:val="48"/>
    </w:rPr>
  </w:style>
  <w:style w:type="paragraph" w:customStyle="1" w:styleId="GTFooterGold">
    <w:name w:val="GT Footer Gold"/>
    <w:basedOn w:val="Normal"/>
    <w:qFormat/>
    <w:rsid w:val="004D3DF9"/>
    <w:pPr>
      <w:spacing w:after="240"/>
    </w:pPr>
    <w:rPr>
      <w:rFonts w:ascii="Arial" w:hAnsi="Arial" w:cs="Arial"/>
      <w:b/>
      <w:color w:val="BE9B39"/>
      <w:sz w:val="16"/>
      <w:szCs w:val="16"/>
    </w:rPr>
  </w:style>
  <w:style w:type="character" w:styleId="FollowedHyperlink">
    <w:name w:val="FollowedHyperlink"/>
    <w:basedOn w:val="DefaultParagraphFont"/>
    <w:uiPriority w:val="99"/>
    <w:semiHidden/>
    <w:unhideWhenUsed/>
    <w:rsid w:val="00671545"/>
    <w:rPr>
      <w:color w:val="800080" w:themeColor="followedHyperlink"/>
      <w:u w:val="single"/>
    </w:rPr>
  </w:style>
  <w:style w:type="character" w:styleId="Strong">
    <w:name w:val="Strong"/>
    <w:basedOn w:val="DefaultParagraphFont"/>
    <w:uiPriority w:val="22"/>
    <w:qFormat/>
    <w:rsid w:val="00752C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069321">
      <w:bodyDiv w:val="1"/>
      <w:marLeft w:val="0"/>
      <w:marRight w:val="0"/>
      <w:marTop w:val="0"/>
      <w:marBottom w:val="0"/>
      <w:divBdr>
        <w:top w:val="none" w:sz="0" w:space="0" w:color="auto"/>
        <w:left w:val="none" w:sz="0" w:space="0" w:color="auto"/>
        <w:bottom w:val="none" w:sz="0" w:space="0" w:color="auto"/>
        <w:right w:val="none" w:sz="0" w:space="0" w:color="auto"/>
      </w:divBdr>
    </w:div>
    <w:div w:id="1365867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tlaw.com/en/professionals/w/wilde-candee" TargetMode="External"/><Relationship Id="rId13" Type="http://schemas.openxmlformats.org/officeDocument/2006/relationships/hyperlink" Target="https://us.anteagroup.com/en-us/bobbiann-murphy" TargetMode="External"/><Relationship Id="rId18" Type="http://schemas.openxmlformats.org/officeDocument/2006/relationships/hyperlink" Target="https://www.linkedin.com/groups/11900976" TargetMode="External"/><Relationship Id="rId3" Type="http://schemas.openxmlformats.org/officeDocument/2006/relationships/settings" Target="settings.xml"/><Relationship Id="rId7" Type="http://schemas.openxmlformats.org/officeDocument/2006/relationships/hyperlink" Target="https://www.evite.com/event/03B3YXI6OTMWD4QZQEPIE3RP5DHZFA/rsvp" TargetMode="External"/><Relationship Id="rId12" Type="http://schemas.openxmlformats.org/officeDocument/2006/relationships/image" Target="media/image4.png"/><Relationship Id="rId17" Type="http://schemas.openxmlformats.org/officeDocument/2006/relationships/image" Target="media/image7.PNG"/><Relationship Id="rId2" Type="http://schemas.microsoft.com/office/2007/relationships/stylesWithEffects" Target="stylesWithEffect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jpg"/><Relationship Id="rId5" Type="http://schemas.openxmlformats.org/officeDocument/2006/relationships/hyperlink" Target="https://www.linkedin.com/groups/11900976" TargetMode="External"/><Relationship Id="rId15" Type="http://schemas.openxmlformats.org/officeDocument/2006/relationships/hyperlink" Target="https://www.linkedin.com/in/steven-piatkowski-31653a7/" TargetMode="External"/><Relationship Id="rId10" Type="http://schemas.openxmlformats.org/officeDocument/2006/relationships/hyperlink" Target="https://www.gtlaw.com/en/professionals/m/maxwell-kaitlyn-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Greenberg Traurig</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Bohl</dc:creator>
  <cp:lastModifiedBy>Sharon Mangione</cp:lastModifiedBy>
  <cp:revision>2</cp:revision>
  <cp:lastPrinted>2015-12-07T20:43:00Z</cp:lastPrinted>
  <dcterms:created xsi:type="dcterms:W3CDTF">2018-03-14T22:19:00Z</dcterms:created>
  <dcterms:modified xsi:type="dcterms:W3CDTF">2018-03-14T22:19:00Z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GEAAO+/T9t20xwl+YXo1QJsNrsRdgRNOGJcXworgDOYLj1NAgag8ngC4WSojw9BCoI8LIHUy15kEw/Pe
XvknOKulgsAgZVyZAPCUlIt957a2avaOVGrx5PNsac796gAHBrzck9tgtXzkvxcMGD32/4XiVTP2
sYVR1a1NzdyTZw+wrrl/X8RAvrCWs84frKplSwzKak0WTZtGoiZA514FMPjpiABregnKcEodWGwV
sGBNqgN2PwdZsvGce</vt:lpwstr>
  </property>
  <property fmtid="{D5CDD505-2E9C-101B-9397-08002B2CF9AE}" pid="3" name="MAIL_MSG_ID2">
    <vt:lpwstr>4xyBGi++ycs</vt:lpwstr>
  </property>
  <property fmtid="{D5CDD505-2E9C-101B-9397-08002B2CF9AE}" pid="4" name="RESPONSE_SENDER_NAME">
    <vt:lpwstr>ABAAgoCixPcRe8lKbZ9aPgVLkvbMkO2btYU4hLAhtduqakkEgQGe3rAZL8/pV0LGh+W9</vt:lpwstr>
  </property>
  <property fmtid="{D5CDD505-2E9C-101B-9397-08002B2CF9AE}" pid="5" name="EMAIL_OWNER_ADDRESS">
    <vt:lpwstr>sAAAE9kkUq3pEoJrCVRGhmg1WMq3SH1/WapWVoCgzC3IrS0=</vt:lpwstr>
  </property>
</Properties>
</file>